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26" w:rsidRPr="00123F26" w:rsidRDefault="00123F26" w:rsidP="00123F26">
      <w:pPr>
        <w:widowControl/>
        <w:shd w:val="clear" w:color="auto" w:fill="FFFFFF"/>
        <w:spacing w:line="580" w:lineRule="atLeast"/>
        <w:jc w:val="center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Times New Roman" w:eastAsia="等线" w:hAnsi="Times New Roman" w:cs="Times New Roman"/>
          <w:b/>
          <w:bCs/>
          <w:color w:val="333333"/>
          <w:kern w:val="0"/>
          <w:sz w:val="36"/>
          <w:szCs w:val="36"/>
          <w:bdr w:val="none" w:sz="0" w:space="0" w:color="auto" w:frame="1"/>
        </w:rPr>
        <w:t> 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jc w:val="center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Times New Roman" w:eastAsia="等线" w:hAnsi="Times New Roman" w:cs="Times New Roman"/>
          <w:b/>
          <w:bCs/>
          <w:color w:val="333333"/>
          <w:kern w:val="0"/>
          <w:sz w:val="36"/>
          <w:szCs w:val="36"/>
          <w:bdr w:val="none" w:sz="0" w:space="0" w:color="auto" w:frame="1"/>
        </w:rPr>
        <w:t>2021</w:t>
      </w:r>
      <w:r w:rsidRPr="00123F26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  <w:bdr w:val="none" w:sz="0" w:space="0" w:color="auto" w:frame="1"/>
        </w:rPr>
        <w:t>年全国农业绿色发展典型案例名单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北京市顺义区：构建“主体分、镇村收、第三方处理”体系 实现尾菜资源化利用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天津市西青区：借力智慧农业服务平台 创新小站稻“五统一”标准化生产模式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河北省承德市围场满族蒙古族自治县：以实施“三大行动”为抓手 全面推进农业面源污染防治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河北省邯郸市曲周县：强化校地合作 创新小麦种植减氨增效技术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5.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山西省运城市万荣县：完善农业绿色发展支撑体系 推进农业生产方式绿色转型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6.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山西省晋城市高平市：发挥新型经营主体作用 绿色种养走出产业致富路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7.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内蒙古自治区兴安盟科尔沁右翼前旗：推广“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321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”模式 推进农药包装废弃物处理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8.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辽宁省大连市庄河市：做好“三”字文章 着力构建农业绿色发展新格局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9.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吉林省吉林市舒兰市：夯实黄金种植带优势 打造绿色粮油生产基地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lastRenderedPageBreak/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10.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黑龙江省齐齐哈尔市克山县：创新全链条包装废弃物治理模式 净化寒地黑土环境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黑龙江省绥化市海伦市：坚持肥料化能源化并重 促进秸秆综合利用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12.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上海市崇明区：科技创新引领产业升级 建设都市现代绿色农业高地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13.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江苏省苏州市太仓市：加强秸秆饲料化利用 打造“四个一”生态循环模式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14.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江苏省徐州市睢宁县：聚焦三个关键 筑牢农业面源污染“防护堤”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15.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浙江省嘉兴市桐乡市：实行农业投入品全周期管理 守好绿色责任田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16.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浙江省台州市黄岩区：“政策、技术、应用”齐发力 托起茭白产业共富梦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17.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安徽省阜阳市颍上县：加快生产加工绿色升级 实现稻米产业“绿色蝶变”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18.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安徽省安庆市岳西县：强化绿色科技支撑 促进茶产业高质量发展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19.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福建省南平市武夷山市：做好“两无化”文章 发展绿富美生态茶园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20.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福建省龙岩市上杭县：“土长”当家 守护一方净土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lastRenderedPageBreak/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江西省宜春市丰城市：借力“生态硒谷” 发展绿色富硒产业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22.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江西省吉安市泰和县：叫响绿色品牌 赋能绿色产业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23.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山东省威海市乳山市：坚持“三链”协同网格管理 筑牢食品安全“绿色防线”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24.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山东省潍坊市诸城市：推行三级循环模式 实现农业废弃物“四化”利用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25.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河南省濮阳市南乐县：推行三个“全覆盖” 破解农业面源污染治理难题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26.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河南省平顶山市宝丰县：畅通种养循环关键节点 推进农业绿色发展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27.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湖北省黄石市大冶市：绿色种养促循环 修复耕地保安全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28.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湖北省恩施土家族苗族自治州咸丰县：“减提治循”管源头 绿色发展见真功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29.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湖北省宜昌市夷陵区：坚持“三生”共治 筑牢“三大”体系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30.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湖南省邵阳市新宁县：健全绿色防控网 香嫩脐橙满</w:t>
      </w:r>
      <w:r w:rsidRPr="00123F26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崀</w:t>
      </w:r>
      <w:r w:rsidRPr="00123F26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bdr w:val="none" w:sz="0" w:space="0" w:color="auto" w:frame="1"/>
        </w:rPr>
        <w:t>山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湖南省常德市澧县：创新绿色技术集成 实现化肥减量增效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lastRenderedPageBreak/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32.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湖南省长沙市浏阳市：坚持“四重”原则 提升蔬菜产业绿色化水平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33.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广东省江门市台山市：创新“一二三”工作模式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打造农业面源污染防治样本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34.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广西壮族自治区柳州市三江侗族自治县：强化绿色引领 促进小绿叶成就大产业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35.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海南省三亚市：加强耕地资源保护利用 夯实南繁硅谷绿色发展基础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36.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四川省眉山市青神县：创新“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333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”管理模式 高效回收处置农药包装废弃物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37.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四川省成都市邛崃市：分类推进畜禽粪污资源化利用 提升生态农业发展水平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38.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重庆市璧山区：聚焦“四个强化” 推进农业面源污染科学防控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39.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贵州省遵义市凤冈县：实施“五化”联动 推动茶叶一二三产业融合发展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40.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贵州省毕节市金沙县：推进绿色防控与统防统治融合示范 促进高粱产业绿色发展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云南省红河哈尼族彝族自治州弥勒市：发展生态产业 探索绿水青山转化金山银山新路子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42.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西藏自治区日喀则市白朗县：全链推行绿色生产方式 打造高原设施蔬菜产业样板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lastRenderedPageBreak/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43.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陕西省延安市富县：实施农业标准化生产 助推苹果产业绿色发展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44.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陕西省宝鸡市眉县：推动猕猴桃产业全域全链发展 实现农业绿色崛起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45.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甘肃省张掖市高台县：构建废旧农膜循环利用体系 治理农田“白色污染”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46.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甘肃省临夏回族自治州广河县：推动绿色种养循环 擦亮寒旱农业生态底色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47.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青海省西宁市湟源县：推行分级分类治理 实现废旧地膜变弃为用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48.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宁夏回族自治区固原市隆德县：创新“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136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”污染治理模式 促进农膜有效回收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49.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宁夏回族自治区吴忠市青铜峡市：全链推进废弃物资源化利用 健全绿色低碳循环经济体系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 　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50.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新疆维吾尔自治区阿克苏地区沙雅县：建立残膜回收长效机制 全力打好净土保卫战</w:t>
      </w:r>
    </w:p>
    <w:p w:rsidR="00123F26" w:rsidRPr="00123F26" w:rsidRDefault="00123F26" w:rsidP="00123F26">
      <w:pPr>
        <w:widowControl/>
        <w:shd w:val="clear" w:color="auto" w:fill="FFFFFF"/>
        <w:spacing w:line="580" w:lineRule="atLeast"/>
        <w:rPr>
          <w:rFonts w:ascii="等线" w:eastAsia="等线" w:hAnsi="宋体" w:cs="宋体"/>
          <w:color w:val="333333"/>
          <w:kern w:val="0"/>
          <w:szCs w:val="21"/>
        </w:rPr>
      </w:pP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 xml:space="preserve">　　</w:t>
      </w:r>
      <w:r w:rsidRPr="00123F26">
        <w:rPr>
          <w:rFonts w:ascii="等线" w:eastAsia="等线" w:hAnsi="宋体" w:cs="宋体" w:hint="eastAsia"/>
          <w:color w:val="333333"/>
          <w:kern w:val="0"/>
          <w:szCs w:val="21"/>
        </w:rPr>
        <w:t> </w:t>
      </w:r>
      <w:r w:rsidRPr="00123F26">
        <w:rPr>
          <w:rFonts w:ascii="Times New Roman" w:eastAsia="等线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51.</w:t>
      </w:r>
      <w:r w:rsidRPr="00123F26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新疆生产建设兵团第四师七十七团：秸秆资源巧利用 多元发展促增收</w:t>
      </w:r>
    </w:p>
    <w:p w:rsidR="00326350" w:rsidRDefault="00326350"/>
    <w:sectPr w:rsidR="00326350" w:rsidSect="0032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26" w:rsidRDefault="00123F26" w:rsidP="00123F26">
      <w:r>
        <w:separator/>
      </w:r>
    </w:p>
  </w:endnote>
  <w:endnote w:type="continuationSeparator" w:id="0">
    <w:p w:rsidR="00123F26" w:rsidRDefault="00123F26" w:rsidP="0012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26" w:rsidRDefault="00123F26" w:rsidP="00123F26">
      <w:r>
        <w:separator/>
      </w:r>
    </w:p>
  </w:footnote>
  <w:footnote w:type="continuationSeparator" w:id="0">
    <w:p w:rsidR="00123F26" w:rsidRDefault="00123F26" w:rsidP="00123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F26"/>
    <w:rsid w:val="000E0BAA"/>
    <w:rsid w:val="00123F26"/>
    <w:rsid w:val="00326350"/>
    <w:rsid w:val="00C5528D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5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23F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F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3F2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5">
    <w:name w:val="15"/>
    <w:basedOn w:val="a"/>
    <w:rsid w:val="00123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3</cp:revision>
  <dcterms:created xsi:type="dcterms:W3CDTF">2022-03-04T09:08:00Z</dcterms:created>
  <dcterms:modified xsi:type="dcterms:W3CDTF">2022-03-15T01:47:00Z</dcterms:modified>
</cp:coreProperties>
</file>